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2A" w:rsidRPr="00A31FB0" w:rsidRDefault="00670FCC">
      <w:pPr>
        <w:rPr>
          <w:w w:val="95"/>
        </w:rPr>
      </w:pPr>
      <w:r w:rsidRPr="00A31FB0">
        <w:rPr>
          <w:rFonts w:ascii="TH Sarabun New" w:hAnsi="TH Sarabun New" w:cs="TH Sarabun New" w:hint="cs"/>
          <w:b/>
          <w:bCs/>
          <w:w w:val="95"/>
          <w:sz w:val="32"/>
          <w:szCs w:val="32"/>
          <w:cs/>
        </w:rPr>
        <w:t>กลุ่ม</w:t>
      </w:r>
      <w:r w:rsidR="00A31FB0">
        <w:rPr>
          <w:rFonts w:ascii="TH Sarabun New" w:hAnsi="TH Sarabun New" w:cs="TH Sarabun New" w:hint="cs"/>
          <w:b/>
          <w:bCs/>
          <w:w w:val="95"/>
          <w:sz w:val="32"/>
          <w:szCs w:val="32"/>
          <w:cs/>
        </w:rPr>
        <w:t>ที่พิจารณา</w:t>
      </w:r>
      <w:r w:rsidR="00E45DCD">
        <w:rPr>
          <w:rFonts w:ascii="TH Sarabun New" w:hAnsi="TH Sarabun New" w:cs="TH Sarabun New" w:hint="cs"/>
          <w:b/>
          <w:bCs/>
          <w:w w:val="95"/>
          <w:sz w:val="32"/>
          <w:szCs w:val="32"/>
          <w:cs/>
        </w:rPr>
        <w:t xml:space="preserve">   </w:t>
      </w:r>
    </w:p>
    <w:tbl>
      <w:tblPr>
        <w:tblStyle w:val="a3"/>
        <w:tblW w:w="10722" w:type="dxa"/>
        <w:tblLook w:val="04A0" w:firstRow="1" w:lastRow="0" w:firstColumn="1" w:lastColumn="0" w:noHBand="0" w:noVBand="1"/>
      </w:tblPr>
      <w:tblGrid>
        <w:gridCol w:w="2524"/>
        <w:gridCol w:w="4031"/>
        <w:gridCol w:w="997"/>
        <w:gridCol w:w="1274"/>
        <w:gridCol w:w="474"/>
        <w:gridCol w:w="474"/>
        <w:gridCol w:w="474"/>
        <w:gridCol w:w="474"/>
      </w:tblGrid>
      <w:tr w:rsidR="001C7CA2" w:rsidRPr="00A31FB0" w:rsidTr="00670FCC">
        <w:tc>
          <w:tcPr>
            <w:tcW w:w="2547" w:type="dxa"/>
          </w:tcPr>
          <w:p w:rsidR="001C7CA2" w:rsidRPr="00A31FB0" w:rsidRDefault="00670FCC" w:rsidP="00373F9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8175" w:type="dxa"/>
            <w:gridSpan w:val="7"/>
          </w:tcPr>
          <w:p w:rsidR="001C7CA2" w:rsidRPr="00A31FB0" w:rsidRDefault="00E46FBA" w:rsidP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E46FBA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1.2</w:t>
            </w:r>
            <w:r w:rsidR="00E45DCD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</w:t>
            </w:r>
            <w:r w:rsidRPr="00E46FBA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การเฝ้าระวังและกำกับความเสี่ยงหลักสูตร สาขา คณะเปิดใหม่/เตรียมเปิดใหม่</w:t>
            </w:r>
            <w:r w:rsidR="00E45DCD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</w:t>
            </w:r>
            <w:r w:rsidRPr="00E46FBA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(5ปีแรก)</w:t>
            </w:r>
          </w:p>
        </w:tc>
      </w:tr>
      <w:tr w:rsidR="001C7CA2" w:rsidRPr="00A31FB0" w:rsidTr="00B5503B">
        <w:tc>
          <w:tcPr>
            <w:tcW w:w="2547" w:type="dxa"/>
          </w:tcPr>
          <w:p w:rsidR="001C7CA2" w:rsidRPr="00A31FB0" w:rsidRDefault="008D361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E46FBA" w:rsidRPr="00E45DCD" w:rsidRDefault="0048161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E45DCD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ขาดการวิเคราะห์ปัจจัยแวดล้อมที่ส่งผลกระทบต่อหลักสูตรอย่างเป็นระบบ</w:t>
            </w:r>
            <w:r w:rsidR="00923625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</w:t>
            </w:r>
            <w:r w:rsidR="00923625" w:rsidRPr="00923625">
              <w:rPr>
                <w:rFonts w:ascii="TH Sarabun New" w:hAnsi="TH Sarabun New" w:cs="TH Sarabun New"/>
                <w:b/>
                <w:bCs/>
                <w:color w:val="0000CC"/>
                <w:w w:val="95"/>
                <w:sz w:val="32"/>
                <w:szCs w:val="32"/>
              </w:rPr>
              <w:t>- PESTEL</w:t>
            </w:r>
          </w:p>
        </w:tc>
      </w:tr>
      <w:tr w:rsidR="001C7CA2" w:rsidRPr="00A31FB0" w:rsidTr="00B5503B">
        <w:tc>
          <w:tcPr>
            <w:tcW w:w="2547" w:type="dxa"/>
          </w:tcPr>
          <w:p w:rsidR="001C7CA2" w:rsidRPr="00A31FB0" w:rsidRDefault="00196445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481614" w:rsidRPr="00923625" w:rsidRDefault="00481614" w:rsidP="00E46FBA">
            <w:pP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sz w:val="32"/>
                <w:szCs w:val="32"/>
                <w:cs/>
              </w:rPr>
            </w:pPr>
            <w:r w:rsidRPr="00E45DCD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ขาดข้อมูลเชิงปริมาณความต้องการกำลังคนของภาคอุตสาหกรรม</w:t>
            </w:r>
            <w:r w:rsidR="00923625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  </w:t>
            </w:r>
            <w:r w:rsidR="00923625" w:rsidRPr="00923625">
              <w:rPr>
                <w:rFonts w:ascii="TH Sarabun New" w:hAnsi="TH Sarabun New" w:cs="TH Sarabun New"/>
                <w:b/>
                <w:bCs/>
                <w:color w:val="0000CC"/>
                <w:w w:val="95"/>
                <w:sz w:val="32"/>
                <w:szCs w:val="32"/>
              </w:rPr>
              <w:t xml:space="preserve">BOI </w:t>
            </w:r>
            <w:r w:rsidR="00923625" w:rsidRPr="00923625">
              <w:rPr>
                <w:rFonts w:ascii="TH Sarabun New" w:hAnsi="TH Sarabun New" w:cs="TH Sarabun New" w:hint="cs"/>
                <w:b/>
                <w:bCs/>
                <w:color w:val="0000CC"/>
                <w:w w:val="95"/>
                <w:sz w:val="32"/>
                <w:szCs w:val="32"/>
                <w:cs/>
              </w:rPr>
              <w:t>บริษัทจดทะเบียนใหม่ บริษัทเลิกกิจการ</w:t>
            </w:r>
          </w:p>
          <w:p w:rsidR="001C7CA2" w:rsidRPr="00E45DCD" w:rsidRDefault="00481614" w:rsidP="0048161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E45DCD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ขาดการกำกับติดตามการ</w:t>
            </w:r>
            <w:r w:rsidR="00E46FBA" w:rsidRPr="00E45DCD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ประกันคุณภาพระดับหลักสูตรต้องเป็นไปตามเกณฑ์มาตรฐานระดับอุดมศึกษา</w:t>
            </w:r>
          </w:p>
        </w:tc>
      </w:tr>
      <w:tr w:rsidR="001C7CA2" w:rsidRPr="00A31FB0" w:rsidTr="00B5503B">
        <w:tc>
          <w:tcPr>
            <w:tcW w:w="2547" w:type="dxa"/>
          </w:tcPr>
          <w:p w:rsidR="001C7CA2" w:rsidRPr="00A31FB0" w:rsidRDefault="00196445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1C7CA2" w:rsidRPr="00E45DCD" w:rsidRDefault="00ED46C2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E45DCD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มีการวิเคราะห์ปัจจัยแวดล้อมที่ส่งผลกระทบต่อหลักสูตรอย่างเป็นระบบ</w:t>
            </w:r>
          </w:p>
          <w:p w:rsidR="00ED46C2" w:rsidRPr="00E45DCD" w:rsidRDefault="00ED46C2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E45DCD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มีการประกันคุณภาพระดับหลักสูตรในระดับดีขึ้นไป</w:t>
            </w:r>
          </w:p>
        </w:tc>
      </w:tr>
      <w:tr w:rsidR="0022551E" w:rsidRPr="00A31FB0" w:rsidTr="0084747E">
        <w:tc>
          <w:tcPr>
            <w:tcW w:w="2547" w:type="dxa"/>
          </w:tcPr>
          <w:p w:rsidR="0022551E" w:rsidRPr="00A31FB0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4087" w:type="dxa"/>
          </w:tcPr>
          <w:p w:rsidR="0022551E" w:rsidRPr="00A31FB0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ก่อนจัดการ (โอกาส </w:t>
            </w: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22551E" w:rsidRPr="00A31FB0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     </w:t>
            </w:r>
            <w:r w:rsidR="00E46FBA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3x</w:t>
            </w:r>
            <w:r w:rsidR="00ED46C2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5</w:t>
            </w:r>
            <w:proofErr w:type="gramStart"/>
            <w:r w:rsidR="00E46FBA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=</w:t>
            </w:r>
            <w:r w:rsidR="00180254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 </w:t>
            </w:r>
            <w:r w:rsidR="00ED46C2" w:rsidRPr="00180254">
              <w:rPr>
                <w:rFonts w:ascii="TH Sarabun New" w:hAnsi="TH Sarabun New" w:cs="TH Sarabun New"/>
                <w:b/>
                <w:bCs/>
                <w:strike/>
                <w:w w:val="95"/>
                <w:sz w:val="32"/>
                <w:szCs w:val="32"/>
              </w:rPr>
              <w:t>15</w:t>
            </w:r>
            <w:proofErr w:type="gramEnd"/>
          </w:p>
        </w:tc>
        <w:tc>
          <w:tcPr>
            <w:tcW w:w="4088" w:type="dxa"/>
            <w:gridSpan w:val="6"/>
          </w:tcPr>
          <w:p w:rsidR="0022551E" w:rsidRPr="00E45DCD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E45DCD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หลังจัดการ  (โอกาส </w:t>
            </w:r>
            <w:r w:rsidRPr="00E45DCD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E45DCD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22551E" w:rsidRPr="00E45DCD" w:rsidRDefault="00E46FBA" w:rsidP="00E46FBA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E45DCD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1x3=</w:t>
            </w:r>
            <w:r w:rsidRPr="00180254">
              <w:rPr>
                <w:rFonts w:ascii="TH Sarabun New" w:hAnsi="TH Sarabun New" w:cs="TH Sarabun New"/>
                <w:b/>
                <w:bCs/>
                <w:strike/>
                <w:w w:val="95"/>
                <w:sz w:val="32"/>
                <w:szCs w:val="32"/>
              </w:rPr>
              <w:t>3</w:t>
            </w:r>
          </w:p>
        </w:tc>
      </w:tr>
      <w:tr w:rsidR="001C7CA2" w:rsidRPr="00A31FB0" w:rsidTr="00B5503B">
        <w:tc>
          <w:tcPr>
            <w:tcW w:w="2547" w:type="dxa"/>
          </w:tcPr>
          <w:p w:rsidR="001C7CA2" w:rsidRPr="00A31FB0" w:rsidRDefault="00196445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KRIs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ตัวชี้วัดสำหรับเฝ้าระวัง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1C7CA2" w:rsidRPr="00E45DCD" w:rsidRDefault="004113EE" w:rsidP="004113EE">
            <w:pPr>
              <w:pStyle w:val="a5"/>
              <w:numPr>
                <w:ilvl w:val="0"/>
                <w:numId w:val="1"/>
              </w:num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E45DCD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จำนวนนักศึกษาของหลักสูตร</w:t>
            </w:r>
          </w:p>
          <w:p w:rsidR="004113EE" w:rsidRPr="00E45DCD" w:rsidRDefault="004113EE" w:rsidP="004113EE">
            <w:pPr>
              <w:pStyle w:val="a5"/>
              <w:numPr>
                <w:ilvl w:val="0"/>
                <w:numId w:val="1"/>
              </w:num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E45DCD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ค่าระดับคะแนนการประกันคุณภาพระดับหลักสูตร</w:t>
            </w:r>
          </w:p>
        </w:tc>
      </w:tr>
      <w:tr w:rsidR="00670FCC" w:rsidRPr="00A31FB0" w:rsidTr="00B5503B">
        <w:tc>
          <w:tcPr>
            <w:tcW w:w="2547" w:type="dxa"/>
          </w:tcPr>
          <w:p w:rsidR="00670FCC" w:rsidRPr="00A31FB0" w:rsidRDefault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ทะเบียนความเสี่ยงที่ใช้ประเมิน</w:t>
            </w:r>
            <w:r w:rsidR="00F33E9A"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DE2D99" w:rsidRPr="00B5503B" w:rsidRDefault="00DE2D99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5503B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เริ่มปี 2562 </w:t>
            </w:r>
          </w:p>
          <w:p w:rsidR="004113EE" w:rsidRPr="004113EE" w:rsidRDefault="004113EE" w:rsidP="004113E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4113EE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1.</w:t>
            </w:r>
            <w:r w:rsidRPr="004113EE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ab/>
              <w:t>จำนวนนักศึกษาของหลักสูตร</w:t>
            </w:r>
          </w:p>
          <w:p w:rsidR="00DE2D99" w:rsidRPr="00B5503B" w:rsidRDefault="004113EE" w:rsidP="004113E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4113EE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2.</w:t>
            </w:r>
            <w:r w:rsidRPr="004113EE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ab/>
              <w:t>ค่าระดับคะแนนการประกันคุณภาพระดับหลักสูตร</w:t>
            </w: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กิจกรรมในแผน</w:t>
            </w:r>
          </w:p>
        </w:tc>
        <w:tc>
          <w:tcPr>
            <w:tcW w:w="5103" w:type="dxa"/>
            <w:gridSpan w:val="2"/>
          </w:tcPr>
          <w:p w:rsidR="00670FCC" w:rsidRPr="00A31FB0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0FCC" w:rsidRPr="00A31FB0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8" w:type="dxa"/>
          </w:tcPr>
          <w:p w:rsidR="00670FCC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1</w:t>
            </w:r>
          </w:p>
        </w:tc>
        <w:tc>
          <w:tcPr>
            <w:tcW w:w="448" w:type="dxa"/>
          </w:tcPr>
          <w:p w:rsidR="00670FCC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2</w:t>
            </w:r>
          </w:p>
        </w:tc>
        <w:tc>
          <w:tcPr>
            <w:tcW w:w="448" w:type="dxa"/>
          </w:tcPr>
          <w:p w:rsidR="00670FCC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3</w:t>
            </w:r>
          </w:p>
        </w:tc>
        <w:tc>
          <w:tcPr>
            <w:tcW w:w="452" w:type="dxa"/>
          </w:tcPr>
          <w:p w:rsidR="00670FCC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4</w:t>
            </w:r>
          </w:p>
        </w:tc>
      </w:tr>
      <w:tr w:rsidR="00DE2D99" w:rsidRPr="00A31FB0" w:rsidTr="00670FCC">
        <w:tc>
          <w:tcPr>
            <w:tcW w:w="2547" w:type="dxa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นโยบายเพิ่มเติม</w:t>
            </w:r>
          </w:p>
        </w:tc>
        <w:tc>
          <w:tcPr>
            <w:tcW w:w="5103" w:type="dxa"/>
            <w:gridSpan w:val="2"/>
          </w:tcPr>
          <w:p w:rsidR="00950289" w:rsidRPr="00A31FB0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1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1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การรายงาน</w:t>
            </w:r>
            <w:r w:rsidR="00180254" w:rsidRPr="00180254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อุปสรรค ปัญหา ความเสี่ยงในระหว่าง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ผลการดำเนินงานหลักสูตร</w:t>
            </w:r>
          </w:p>
          <w:p w:rsidR="00DE2D99" w:rsidRPr="00A31FB0" w:rsidRDefault="00950289" w:rsidP="00950289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>1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>2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</w:t>
            </w:r>
            <w:r w:rsidR="00180254" w:rsidRPr="00180254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</w:rPr>
              <w:t>การวิเคราะห์สิ่วที่ทำให้ไม่เกิด</w:t>
            </w:r>
            <w:r w:rsidR="002F08CC" w:rsidRPr="00180254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</w:rPr>
              <w:t>ผล</w:t>
            </w:r>
            <w:proofErr w:type="spellStart"/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สัมฤ</w:t>
            </w:r>
            <w:proofErr w:type="spellEnd"/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ทธิในการจัดการศึกษาระดับหลักสูตร</w:t>
            </w:r>
          </w:p>
        </w:tc>
        <w:tc>
          <w:tcPr>
            <w:tcW w:w="1276" w:type="dxa"/>
          </w:tcPr>
          <w:p w:rsidR="00DE2D99" w:rsidRPr="00A31FB0" w:rsidRDefault="000E20D1" w:rsidP="000E20D1">
            <w:pPr>
              <w:jc w:val="center"/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สวท</w:t>
            </w: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.</w:t>
            </w:r>
          </w:p>
        </w:tc>
        <w:tc>
          <w:tcPr>
            <w:tcW w:w="448" w:type="dxa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52" w:type="dxa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1A2321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การกำกับติดตาม</w:t>
            </w:r>
            <w:r w:rsidR="002F08C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/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ควบคุมการบริหาร</w:t>
            </w:r>
            <w:r w:rsidR="00180254" w:rsidRPr="00180254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ความเสี่ยง</w:t>
            </w:r>
            <w:r w:rsidR="00180254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ราย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หลักสูตร</w:t>
            </w:r>
          </w:p>
        </w:tc>
        <w:tc>
          <w:tcPr>
            <w:tcW w:w="1276" w:type="dxa"/>
            <w:vAlign w:val="center"/>
          </w:tcPr>
          <w:p w:rsidR="00670FCC" w:rsidRPr="000E20D1" w:rsidRDefault="000E20D1" w:rsidP="000E20D1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  <w:r>
              <w:rPr>
                <w:rFonts w:ascii="TH Sarabun New" w:hAnsi="TH Sarabun New" w:cs="TH Sarabun New"/>
                <w:w w:val="95"/>
                <w:sz w:val="32"/>
                <w:szCs w:val="32"/>
                <w:lang w:val="en-US"/>
              </w:rPr>
              <w:t>/</w:t>
            </w: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  <w:lang w:val="en-US"/>
              </w:rPr>
              <w:t>สวท</w:t>
            </w:r>
            <w:r>
              <w:rPr>
                <w:rFonts w:ascii="TH Sarabun New" w:hAnsi="TH Sarabun New" w:cs="TH Sarabun New"/>
                <w:w w:val="95"/>
                <w:sz w:val="32"/>
                <w:szCs w:val="32"/>
                <w:lang w:val="en-US"/>
              </w:rPr>
              <w:t>.</w:t>
            </w: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1A2321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การทวนสอบ</w:t>
            </w:r>
            <w:r w:rsidR="00180254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เป็น</w:t>
            </w:r>
            <w:r w:rsidR="00180254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กิจกรรมลดความเสี่ยงที่จะทำให้ไม่เกิด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ผล</w:t>
            </w:r>
            <w:proofErr w:type="spellStart"/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สัมฤ</w:t>
            </w:r>
            <w:proofErr w:type="spellEnd"/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ทธิผู้เรียน</w:t>
            </w:r>
            <w:r w:rsidR="002F08C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/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บัณฑิต</w:t>
            </w:r>
            <w:r w:rsidR="002F08C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/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ผู้ใช้บัณฑิต</w:t>
            </w:r>
          </w:p>
        </w:tc>
        <w:tc>
          <w:tcPr>
            <w:tcW w:w="1276" w:type="dxa"/>
            <w:vAlign w:val="center"/>
          </w:tcPr>
          <w:p w:rsidR="00670FCC" w:rsidRPr="00A31FB0" w:rsidRDefault="000E20D1" w:rsidP="000E20D1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(กับหน่วยงานกำกับ)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1A2321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180254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กิจกรรมลดความเสี่ยงที่จะทำให้ไม่เกิด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การรับรองหลักสูตรโดย </w:t>
            </w:r>
            <w:proofErr w:type="gramStart"/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สกอ</w:t>
            </w:r>
            <w:r w:rsidR="002F08C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.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และ</w:t>
            </w:r>
            <w:proofErr w:type="gramEnd"/>
            <w:r w:rsidR="002F08C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\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หรือองค์กรวิชาชีพ </w:t>
            </w:r>
          </w:p>
        </w:tc>
        <w:tc>
          <w:tcPr>
            <w:tcW w:w="1276" w:type="dxa"/>
            <w:vAlign w:val="center"/>
          </w:tcPr>
          <w:p w:rsidR="00670FCC" w:rsidRPr="00A31FB0" w:rsidRDefault="000E20D1" w:rsidP="000E20D1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A31FB0" w:rsidTr="00670FCC">
        <w:trPr>
          <w:trHeight w:val="882"/>
        </w:trPr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1A2321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ประเมินผลสัมฤทธิผู้ใช้บัณฑิต</w:t>
            </w:r>
            <w:r w:rsidR="002F08C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/</w:t>
            </w:r>
            <w:r w:rsidR="002F08C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สถานประกอบการในการฝึกประสบการณ์วิชาชีพของนักศึกษา</w:t>
            </w:r>
            <w:r w:rsidR="002F08C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180254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และทำ</w:t>
            </w:r>
            <w:r w:rsidR="00180254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กิจกรรมลดความเสี่ยงที่จะทำให้ไม่เกิด</w:t>
            </w:r>
          </w:p>
        </w:tc>
        <w:tc>
          <w:tcPr>
            <w:tcW w:w="1276" w:type="dxa"/>
            <w:vAlign w:val="center"/>
          </w:tcPr>
          <w:p w:rsidR="00670FCC" w:rsidRPr="00A31FB0" w:rsidRDefault="000E20D1" w:rsidP="000E20D1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(กับชุมชน ภาคีเครือข่าย)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1A2321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5B0190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180254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กิจกรรมลดความเสี่ยงที่จะทำให้ไม่เกิด</w:t>
            </w:r>
            <w:r w:rsidR="005B0190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การมีส่วนร่วมในการบริการวิชาการแก่ชุมชน</w:t>
            </w:r>
            <w:r w:rsidR="005B019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/</w:t>
            </w:r>
            <w:r w:rsidR="005B0190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ภาคีเครือข่าย</w:t>
            </w:r>
          </w:p>
        </w:tc>
        <w:tc>
          <w:tcPr>
            <w:tcW w:w="1276" w:type="dxa"/>
            <w:vAlign w:val="center"/>
          </w:tcPr>
          <w:p w:rsidR="00670FCC" w:rsidRPr="00A31FB0" w:rsidRDefault="000E20D1" w:rsidP="000E20D1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(กับกลุ่มบุคคลอื่น)</w:t>
            </w:r>
          </w:p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70FCC" w:rsidRPr="00C15017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5B0190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180254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กิจกรรมลดความเสี่ยงที่จะทำให้ไม่เกิด</w:t>
            </w:r>
            <w:r w:rsidR="00D16B94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การมีส่วนร่วมในกิจกรรมพัฒนาผู้เรียน</w:t>
            </w:r>
            <w:r w:rsidR="00D16B94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/</w:t>
            </w:r>
            <w:r w:rsidR="00D16B94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การประกวดแข่งขันในระดับชาติและนานาชาติ</w:t>
            </w:r>
          </w:p>
        </w:tc>
        <w:tc>
          <w:tcPr>
            <w:tcW w:w="1276" w:type="dxa"/>
            <w:vAlign w:val="center"/>
          </w:tcPr>
          <w:p w:rsidR="00670FCC" w:rsidRPr="00A31FB0" w:rsidRDefault="000E20D1" w:rsidP="000E20D1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670FCC" w:rsidRPr="00A31FB0" w:rsidTr="00670FCC">
        <w:tc>
          <w:tcPr>
            <w:tcW w:w="2547" w:type="dxa"/>
          </w:tcPr>
          <w:p w:rsidR="00670FCC" w:rsidRPr="00A31FB0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lastRenderedPageBreak/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8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(กับสภาพแวดล้อม)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1A2321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8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D16B94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วิเคราะห์ปัจจัยแวดล้อมด้วย </w:t>
            </w:r>
            <w:r w:rsidR="00D16B94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STEEP Analysis</w:t>
            </w:r>
            <w:r w:rsidR="00D16B94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1B50E5" w:rsidRPr="001B50E5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ส่วนที่ </w:t>
            </w:r>
            <w:r w:rsidR="001B50E5" w:rsidRPr="001B50E5">
              <w:rPr>
                <w:rFonts w:ascii="DilleniaUPC" w:hAnsi="DilleniaUPC" w:cs="DilleniaUPC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 xml:space="preserve">THREATS </w:t>
            </w:r>
            <w:r w:rsidR="001B50E5" w:rsidRPr="001B50E5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มีแผนรองรับพร้อมตอบโต้</w:t>
            </w:r>
          </w:p>
        </w:tc>
        <w:tc>
          <w:tcPr>
            <w:tcW w:w="1276" w:type="dxa"/>
            <w:vAlign w:val="center"/>
          </w:tcPr>
          <w:p w:rsidR="00670FCC" w:rsidRPr="00A31FB0" w:rsidRDefault="000E20D1" w:rsidP="000E20D1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186B72" w:rsidRPr="00A31FB0" w:rsidTr="00186B72">
        <w:tc>
          <w:tcPr>
            <w:tcW w:w="2547" w:type="dxa"/>
          </w:tcPr>
          <w:p w:rsidR="00186B72" w:rsidRPr="00A31FB0" w:rsidRDefault="00186B72" w:rsidP="00670FCC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  <w:t>กิจกรรมอื่น</w:t>
            </w:r>
          </w:p>
        </w:tc>
        <w:tc>
          <w:tcPr>
            <w:tcW w:w="5103" w:type="dxa"/>
            <w:gridSpan w:val="2"/>
            <w:vAlign w:val="center"/>
          </w:tcPr>
          <w:p w:rsidR="00186B72" w:rsidRPr="00A31FB0" w:rsidRDefault="00186B72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86B72" w:rsidRPr="00A31FB0" w:rsidRDefault="00186B72" w:rsidP="00670FCC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186B72" w:rsidRPr="00A31FB0" w:rsidRDefault="00186B72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6B72" w:rsidRPr="00A31FB0" w:rsidRDefault="00186B72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6B72" w:rsidRPr="00A31FB0" w:rsidRDefault="00186B72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186B72" w:rsidRPr="00A31FB0" w:rsidRDefault="00186B72" w:rsidP="00670FCC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</w:tbl>
    <w:p w:rsidR="001C7CA2" w:rsidRDefault="001C7CA2">
      <w:pPr>
        <w:rPr>
          <w:w w:val="95"/>
        </w:rPr>
      </w:pPr>
    </w:p>
    <w:p w:rsidR="00C15017" w:rsidRDefault="00C15017">
      <w:pPr>
        <w:rPr>
          <w:w w:val="95"/>
        </w:rPr>
      </w:pPr>
    </w:p>
    <w:p w:rsidR="00C15017" w:rsidRDefault="00C15017">
      <w:pPr>
        <w:rPr>
          <w:w w:val="95"/>
        </w:rPr>
      </w:pPr>
    </w:p>
    <w:p w:rsidR="008C64F1" w:rsidRDefault="008C64F1">
      <w:pPr>
        <w:rPr>
          <w:w w:val="95"/>
        </w:rPr>
      </w:pPr>
    </w:p>
    <w:tbl>
      <w:tblPr>
        <w:tblStyle w:val="a3"/>
        <w:tblW w:w="10722" w:type="dxa"/>
        <w:tblLook w:val="04A0" w:firstRow="1" w:lastRow="0" w:firstColumn="1" w:lastColumn="0" w:noHBand="0" w:noVBand="1"/>
      </w:tblPr>
      <w:tblGrid>
        <w:gridCol w:w="2524"/>
        <w:gridCol w:w="4032"/>
        <w:gridCol w:w="996"/>
        <w:gridCol w:w="1274"/>
        <w:gridCol w:w="474"/>
        <w:gridCol w:w="474"/>
        <w:gridCol w:w="474"/>
        <w:gridCol w:w="474"/>
      </w:tblGrid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8175" w:type="dxa"/>
            <w:gridSpan w:val="7"/>
          </w:tcPr>
          <w:p w:rsidR="008C64F1" w:rsidRPr="00A31FB0" w:rsidRDefault="008C64F1" w:rsidP="008C64F1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8C64F1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1.3 การฟื้นฟูกอบกู้สถานการณ์หลักสูตรที่มีผู้เรียนลดลง</w:t>
            </w:r>
          </w:p>
        </w:tc>
      </w:tr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8C64F1" w:rsidRPr="008436D3" w:rsidRDefault="008B2E20" w:rsidP="008B2E20">
            <w:pPr>
              <w:pStyle w:val="a5"/>
              <w:numPr>
                <w:ilvl w:val="0"/>
                <w:numId w:val="3"/>
              </w:num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8436D3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จำนวนประชากรลดลง</w:t>
            </w:r>
          </w:p>
          <w:p w:rsidR="008B2E20" w:rsidRPr="008436D3" w:rsidRDefault="008B2E20" w:rsidP="008B2E20">
            <w:pPr>
              <w:pStyle w:val="a5"/>
              <w:numPr>
                <w:ilvl w:val="0"/>
                <w:numId w:val="3"/>
              </w:num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8436D3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รูปแบบการจัดการเรียนการสอนมีความหลากหลายผู้เรียนมีทางเลือกมากขึ้น</w:t>
            </w:r>
          </w:p>
        </w:tc>
      </w:tr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8C64F1" w:rsidRPr="008436D3" w:rsidRDefault="008B2E20" w:rsidP="00707B10">
            <w:pPr>
              <w:pStyle w:val="a5"/>
              <w:numPr>
                <w:ilvl w:val="0"/>
                <w:numId w:val="4"/>
              </w:num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8436D3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ขาดการทบทวนการเรียนการสอน</w:t>
            </w:r>
            <w:r w:rsidRPr="008436D3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/</w:t>
            </w:r>
            <w:r w:rsidRPr="008436D3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รูปแบบการจัดการศึกษาแนวใหม่ ที่เน้นการพัฒนาทักษะและความสามารถในการทำงานเพื่อตอบสนองความต้องการกำลังคนของประเทศ</w:t>
            </w:r>
          </w:p>
          <w:p w:rsidR="00707B10" w:rsidRPr="008436D3" w:rsidRDefault="00707B10" w:rsidP="00707B10">
            <w:pPr>
              <w:pStyle w:val="a5"/>
              <w:numPr>
                <w:ilvl w:val="0"/>
                <w:numId w:val="4"/>
              </w:num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8436D3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จัดหลักสูตรที่ไม่ตอบสนองความต้องการของกลุ่มอุตสาหกรรม</w:t>
            </w:r>
          </w:p>
        </w:tc>
      </w:tr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8C64F1" w:rsidRPr="008436D3" w:rsidRDefault="00A70DA0" w:rsidP="00A70DA0">
            <w:pPr>
              <w:pStyle w:val="a5"/>
              <w:numPr>
                <w:ilvl w:val="0"/>
                <w:numId w:val="5"/>
              </w:num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8436D3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มีแผนการพัฒนาการจัดการเรียนการสอนและผู้สอนที่ตอบสนองสื่อเทคโนโลยีที่ทันสมัย</w:t>
            </w:r>
          </w:p>
          <w:p w:rsidR="00A70DA0" w:rsidRPr="008436D3" w:rsidRDefault="00A70DA0" w:rsidP="00A70DA0">
            <w:pPr>
              <w:pStyle w:val="a5"/>
              <w:numPr>
                <w:ilvl w:val="0"/>
                <w:numId w:val="5"/>
              </w:num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8436D3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มีการปรับปรุงหลักสูตรที่เน้นการพัฒนาทักษะและความสามารถของผู้เรียนที่ตอบสนองความต้องการภาคอุตสาหกรรม</w:t>
            </w:r>
          </w:p>
        </w:tc>
      </w:tr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4087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ก่อนจัดการ (โอกาส </w:t>
            </w: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8C64F1" w:rsidRPr="00A31FB0" w:rsidRDefault="00C41DBE" w:rsidP="00BF274F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3x5=</w:t>
            </w:r>
            <w:r w:rsidRPr="00AE54B6">
              <w:rPr>
                <w:rFonts w:ascii="TH Sarabun New" w:hAnsi="TH Sarabun New" w:cs="TH Sarabun New"/>
                <w:b/>
                <w:bCs/>
                <w:strike/>
                <w:w w:val="95"/>
                <w:sz w:val="32"/>
                <w:szCs w:val="32"/>
              </w:rPr>
              <w:t>15</w:t>
            </w:r>
          </w:p>
        </w:tc>
        <w:tc>
          <w:tcPr>
            <w:tcW w:w="4088" w:type="dxa"/>
            <w:gridSpan w:val="6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หลังจัดการ  (โอกาส </w:t>
            </w: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8C64F1" w:rsidRPr="00A31FB0" w:rsidRDefault="00C41DBE" w:rsidP="00C41DB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1x3=3</w:t>
            </w:r>
          </w:p>
        </w:tc>
      </w:tr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KRIs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ตัวชี้วัดสำหรับเฝ้าระวัง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8C64F1" w:rsidRPr="00AE54B6" w:rsidRDefault="00D7747C" w:rsidP="008C64F1">
            <w:pPr>
              <w:pStyle w:val="a5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E54B6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ไม่มีแผนการ</w:t>
            </w:r>
            <w:r w:rsidRPr="00AE54B6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u w:val="single"/>
                <w:cs/>
              </w:rPr>
              <w:t>พัฒนาผู้สอน</w:t>
            </w:r>
            <w:r w:rsidRPr="00AE54B6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ด้านสื่อการสอน</w:t>
            </w:r>
            <w:r w:rsidRPr="00AE54B6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/</w:t>
            </w:r>
            <w:r w:rsidRPr="00AE54B6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เทคโนโลยีที่ทันสมัย</w:t>
            </w:r>
          </w:p>
          <w:p w:rsidR="00D7747C" w:rsidRPr="00AE54B6" w:rsidRDefault="00D7747C" w:rsidP="008C64F1">
            <w:pPr>
              <w:pStyle w:val="a5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E54B6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ไม่มีกระบวนการพัฒนา</w:t>
            </w:r>
            <w:r w:rsidRPr="00AE54B6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u w:val="single"/>
                <w:cs/>
              </w:rPr>
              <w:t>สื่ออุปกรณ์</w:t>
            </w:r>
            <w:r w:rsidRPr="00AE54B6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u w:val="single"/>
              </w:rPr>
              <w:t>/</w:t>
            </w:r>
            <w:r w:rsidRPr="00AE54B6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u w:val="single"/>
                <w:cs/>
              </w:rPr>
              <w:t>ห้องปฏิบัติการ</w:t>
            </w:r>
            <w:r w:rsidR="00FB2D32" w:rsidRPr="00AE54B6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ที่ทันสมัย</w:t>
            </w:r>
          </w:p>
        </w:tc>
      </w:tr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8C64F1" w:rsidRPr="00AE54B6" w:rsidRDefault="008C64F1" w:rsidP="008C64F1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E54B6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เริ่มปี 2562 </w:t>
            </w:r>
          </w:p>
          <w:p w:rsidR="00541FF9" w:rsidRPr="00AE54B6" w:rsidRDefault="00541FF9" w:rsidP="00541FF9">
            <w:pPr>
              <w:pStyle w:val="a5"/>
              <w:numPr>
                <w:ilvl w:val="0"/>
                <w:numId w:val="6"/>
              </w:num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E54B6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จำนวนคณะที่ยังไม่ได้ทำแผนพัฒนาผู้สอน</w:t>
            </w:r>
            <w:r w:rsidRPr="00AE54B6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ด้านสื่อการสอน/เทคโนโลยีที่ทันสมัย</w:t>
            </w:r>
          </w:p>
          <w:p w:rsidR="008C64F1" w:rsidRPr="00AE54B6" w:rsidRDefault="00541FF9" w:rsidP="00BF274F">
            <w:pPr>
              <w:pStyle w:val="a5"/>
              <w:numPr>
                <w:ilvl w:val="0"/>
                <w:numId w:val="6"/>
              </w:numPr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</w:rPr>
            </w:pPr>
            <w:r w:rsidRPr="00AE54B6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จำนวนสื่อ</w:t>
            </w:r>
            <w:r w:rsidRPr="00AE54B6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/</w:t>
            </w:r>
            <w:r w:rsidRPr="00AE54B6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ครุภัณฑ์</w:t>
            </w:r>
            <w:r w:rsidRPr="00AE54B6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/</w:t>
            </w:r>
            <w:r w:rsidRPr="00AE54B6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ห้องปฏิบัติการ ที่จำเป็นต่อการเรียนการสอนของหลักสูตร</w:t>
            </w:r>
          </w:p>
        </w:tc>
      </w:tr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กิจกรรมในแผน</w:t>
            </w:r>
          </w:p>
        </w:tc>
        <w:tc>
          <w:tcPr>
            <w:tcW w:w="5103" w:type="dxa"/>
            <w:gridSpan w:val="2"/>
          </w:tcPr>
          <w:p w:rsidR="008C64F1" w:rsidRPr="00800B10" w:rsidRDefault="008C64F1" w:rsidP="00BF274F">
            <w:pPr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1</w:t>
            </w: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2</w:t>
            </w: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3</w:t>
            </w:r>
          </w:p>
        </w:tc>
        <w:tc>
          <w:tcPr>
            <w:tcW w:w="452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4</w:t>
            </w:r>
          </w:p>
        </w:tc>
      </w:tr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นโยบายเพิ่มเติม</w:t>
            </w:r>
          </w:p>
        </w:tc>
        <w:tc>
          <w:tcPr>
            <w:tcW w:w="5103" w:type="dxa"/>
            <w:gridSpan w:val="2"/>
          </w:tcPr>
          <w:p w:rsidR="008C64F1" w:rsidRPr="00800B10" w:rsidRDefault="001A57D1" w:rsidP="00BF274F">
            <w:pPr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</w:rPr>
            </w:pPr>
            <w:r w:rsidRPr="00800B10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ข้อมูลจำนวนผู้สมัครเข้าศึกษาของหลักสูตร</w:t>
            </w:r>
            <w:r w:rsidR="00AE54B6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</w:t>
            </w:r>
            <w:r w:rsidR="00AE54B6" w:rsidRPr="00AE54B6">
              <w:rPr>
                <w:rFonts w:ascii="TH Sarabun New" w:hAnsi="TH Sarabun New" w:cs="TH Sarabun New" w:hint="cs"/>
                <w:b/>
                <w:bCs/>
                <w:color w:val="0000CC"/>
                <w:w w:val="95"/>
                <w:sz w:val="32"/>
                <w:szCs w:val="32"/>
                <w:cs/>
              </w:rPr>
              <w:t>ก่อนการรับสมัคร</w:t>
            </w:r>
            <w:r w:rsidR="00AE54B6">
              <w:rPr>
                <w:rFonts w:ascii="TH Sarabun New" w:hAnsi="TH Sarabun New" w:cs="TH Sarabun New" w:hint="cs"/>
                <w:b/>
                <w:bCs/>
                <w:color w:val="0000CC"/>
                <w:w w:val="95"/>
                <w:sz w:val="32"/>
                <w:szCs w:val="32"/>
                <w:cs/>
              </w:rPr>
              <w:t xml:space="preserve">  และจำนวนผู้ที่ขาดจากเป้าหมาย</w:t>
            </w:r>
          </w:p>
        </w:tc>
        <w:tc>
          <w:tcPr>
            <w:tcW w:w="1276" w:type="dxa"/>
          </w:tcPr>
          <w:p w:rsidR="008C64F1" w:rsidRPr="00A31FB0" w:rsidRDefault="000659FE" w:rsidP="00BF274F">
            <w:pPr>
              <w:jc w:val="center"/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52" w:type="dxa"/>
          </w:tcPr>
          <w:p w:rsidR="008C64F1" w:rsidRPr="00A31FB0" w:rsidRDefault="008C64F1" w:rsidP="00BF274F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</w:tr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103" w:type="dxa"/>
            <w:gridSpan w:val="2"/>
            <w:vAlign w:val="center"/>
          </w:tcPr>
          <w:p w:rsidR="008C64F1" w:rsidRPr="00800B10" w:rsidRDefault="001A57D1" w:rsidP="00BF274F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การบูรณาการหลักสูตรสหวิทยาการ</w:t>
            </w:r>
            <w:r w:rsidR="00AE54B6" w:rsidRPr="00AE54B6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 xml:space="preserve"> เพื่อลดความเสี่ยงในหลักสูตรคนเรียนน้อย</w:t>
            </w:r>
          </w:p>
        </w:tc>
        <w:tc>
          <w:tcPr>
            <w:tcW w:w="1276" w:type="dxa"/>
            <w:vAlign w:val="center"/>
          </w:tcPr>
          <w:p w:rsidR="008C64F1" w:rsidRPr="000E20D1" w:rsidRDefault="000659FE" w:rsidP="00BF274F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103" w:type="dxa"/>
            <w:gridSpan w:val="2"/>
            <w:vAlign w:val="center"/>
          </w:tcPr>
          <w:p w:rsidR="008C64F1" w:rsidRPr="00800B10" w:rsidRDefault="00B76BD6" w:rsidP="00BF274F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การประชาสัมพันธ์</w:t>
            </w:r>
            <w:r w:rsidRPr="00800B1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/</w:t>
            </w:r>
            <w:r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ข้อมูลข่าวสารความรู้ความเข้าใจเกี่ยวกับหลักสูตร</w:t>
            </w:r>
            <w:r w:rsidR="00AE54B6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</w:t>
            </w:r>
            <w:r w:rsidR="00AE54B6" w:rsidRPr="00AE54B6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โดยแก้ไขประเด็นที่เป็นสาเหตุความเสี่ยง</w:t>
            </w:r>
          </w:p>
        </w:tc>
        <w:tc>
          <w:tcPr>
            <w:tcW w:w="1276" w:type="dxa"/>
            <w:vAlign w:val="center"/>
          </w:tcPr>
          <w:p w:rsidR="008C64F1" w:rsidRPr="00A31FB0" w:rsidRDefault="000659FE" w:rsidP="00BF274F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(กับหน่วยงานกำกับ)</w:t>
            </w:r>
          </w:p>
        </w:tc>
        <w:tc>
          <w:tcPr>
            <w:tcW w:w="5103" w:type="dxa"/>
            <w:gridSpan w:val="2"/>
            <w:vAlign w:val="center"/>
          </w:tcPr>
          <w:p w:rsidR="008C64F1" w:rsidRPr="0037409A" w:rsidRDefault="00911D73" w:rsidP="00BF274F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</w:pPr>
            <w:r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วิเคราะห์</w:t>
            </w:r>
            <w:r w:rsidRPr="00800B1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 xml:space="preserve">  </w:t>
            </w:r>
            <w:r w:rsidRPr="00800B1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SWOT Analysis </w:t>
            </w:r>
            <w:r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รายหลักสูตร</w:t>
            </w:r>
            <w:r w:rsidR="0037409A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 xml:space="preserve"> เอาประเด็น </w:t>
            </w:r>
            <w:r w:rsidR="0037409A">
              <w:rPr>
                <w:rFonts w:ascii="DilleniaUPC" w:hAnsi="DilleniaUPC" w:cs="DilleniaUPC"/>
                <w:b/>
                <w:bCs/>
                <w:color w:val="0000CC"/>
                <w:w w:val="95"/>
                <w:sz w:val="32"/>
                <w:szCs w:val="32"/>
                <w:lang w:val="en-US"/>
              </w:rPr>
              <w:t xml:space="preserve">THREAT </w:t>
            </w:r>
            <w:r w:rsidR="0037409A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มาสร้างแผนตอบโต้</w:t>
            </w:r>
          </w:p>
        </w:tc>
        <w:tc>
          <w:tcPr>
            <w:tcW w:w="1276" w:type="dxa"/>
            <w:vAlign w:val="center"/>
          </w:tcPr>
          <w:p w:rsidR="008C64F1" w:rsidRPr="00A31FB0" w:rsidRDefault="000659FE" w:rsidP="00BF274F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8C64F1" w:rsidRPr="00A31FB0" w:rsidTr="00BF274F">
        <w:trPr>
          <w:trHeight w:val="882"/>
        </w:trPr>
        <w:tc>
          <w:tcPr>
            <w:tcW w:w="2547" w:type="dxa"/>
          </w:tcPr>
          <w:p w:rsidR="008C64F1" w:rsidRPr="00A31FB0" w:rsidRDefault="008C64F1" w:rsidP="00BF274F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103" w:type="dxa"/>
            <w:gridSpan w:val="2"/>
            <w:vAlign w:val="center"/>
          </w:tcPr>
          <w:p w:rsidR="008C64F1" w:rsidRPr="00800B10" w:rsidRDefault="0095665E" w:rsidP="00BF274F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การทำ </w:t>
            </w:r>
            <w:r w:rsidRPr="00800B1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MOU </w:t>
            </w:r>
            <w:r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กับสถานประกอบการในแต่ละหลักสูตร</w:t>
            </w:r>
            <w:r w:rsidR="0037409A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</w:t>
            </w:r>
            <w:r w:rsidR="0037409A" w:rsidRPr="0037409A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และทำแผนเพิ่มเติมในผู้ประกอ</w:t>
            </w:r>
            <w:r w:rsidR="0037409A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บ</w:t>
            </w:r>
            <w:r w:rsidR="0037409A" w:rsidRPr="0037409A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ที่ไม่ยอมลงนาม</w:t>
            </w:r>
          </w:p>
        </w:tc>
        <w:tc>
          <w:tcPr>
            <w:tcW w:w="1276" w:type="dxa"/>
            <w:vAlign w:val="center"/>
          </w:tcPr>
          <w:p w:rsidR="008C64F1" w:rsidRPr="00A31FB0" w:rsidRDefault="000659FE" w:rsidP="00BF274F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(กับชุมชน ภาคีเครือข่าย)</w:t>
            </w:r>
          </w:p>
        </w:tc>
        <w:tc>
          <w:tcPr>
            <w:tcW w:w="5103" w:type="dxa"/>
            <w:gridSpan w:val="2"/>
            <w:vAlign w:val="center"/>
          </w:tcPr>
          <w:p w:rsidR="008C64F1" w:rsidRPr="00800B10" w:rsidRDefault="00C323B4" w:rsidP="00BF274F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มีการบริการวิชาการแก่ชุมชน</w:t>
            </w:r>
            <w:r w:rsidRPr="00800B1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/</w:t>
            </w:r>
            <w:r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ภาคีเครือข่าย</w:t>
            </w:r>
            <w:r w:rsidR="0037409A" w:rsidRPr="0037409A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กลุ่มใหม่ที่ยังไม่เคยเข้าถึง</w:t>
            </w:r>
            <w:r w:rsidRPr="0037409A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 xml:space="preserve"> </w:t>
            </w:r>
            <w:r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อย่างยั่งยืน</w:t>
            </w:r>
            <w:r w:rsidR="0037409A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</w:t>
            </w:r>
            <w:r w:rsidR="0037409A" w:rsidRPr="0037409A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 xml:space="preserve">ไม่มีรายได้ </w:t>
            </w:r>
          </w:p>
        </w:tc>
        <w:tc>
          <w:tcPr>
            <w:tcW w:w="1276" w:type="dxa"/>
            <w:vAlign w:val="center"/>
          </w:tcPr>
          <w:p w:rsidR="008C64F1" w:rsidRPr="00A31FB0" w:rsidRDefault="000659FE" w:rsidP="00BF274F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lastRenderedPageBreak/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(กับกลุ่มบุคคลอื่น)</w:t>
            </w:r>
          </w:p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8C64F1" w:rsidRPr="00800B10" w:rsidRDefault="00C323B4" w:rsidP="00BF274F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กิจกรรมประชาสัมพันธ์หลักสูตร</w:t>
            </w:r>
            <w:r w:rsidRPr="00800B1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/</w:t>
            </w:r>
            <w:r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การแข่งขัน</w:t>
            </w:r>
            <w:r w:rsidRPr="00800B1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/</w:t>
            </w:r>
            <w:r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การประกวด</w:t>
            </w:r>
            <w:r w:rsidR="00901C85" w:rsidRPr="00800B1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/</w:t>
            </w:r>
            <w:r w:rsidR="00901C85"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ด้วยการสร้าง</w:t>
            </w:r>
            <w:r w:rsidR="00901C85" w:rsidRPr="00800B1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 Brand Positioning</w:t>
            </w:r>
            <w:r w:rsidR="0037409A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</w:t>
            </w:r>
            <w:r w:rsidR="0037409A" w:rsidRPr="0037409A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นอกเหนือหน้าที่ปกติ</w:t>
            </w:r>
          </w:p>
        </w:tc>
        <w:tc>
          <w:tcPr>
            <w:tcW w:w="1276" w:type="dxa"/>
            <w:vAlign w:val="center"/>
          </w:tcPr>
          <w:p w:rsidR="008C64F1" w:rsidRPr="00A31FB0" w:rsidRDefault="000659FE" w:rsidP="00BF274F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8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(กับสภาพแวดล้อม)</w:t>
            </w:r>
          </w:p>
        </w:tc>
        <w:tc>
          <w:tcPr>
            <w:tcW w:w="5103" w:type="dxa"/>
            <w:gridSpan w:val="2"/>
            <w:vAlign w:val="center"/>
          </w:tcPr>
          <w:p w:rsidR="008C64F1" w:rsidRPr="00800B10" w:rsidRDefault="00625226" w:rsidP="00625226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เปิดหลักสูตรใหม่ทีมีการบูรณาการ เช่น หลักสูตรภาคสมทบ หลักสูตรปริญญาตรีควบปริญญาโท จบภายใน </w:t>
            </w:r>
            <w:r w:rsidRPr="00800B1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5</w:t>
            </w:r>
            <w:r w:rsidRPr="00800B1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ปี หลักสูตร           การันตีการมีงานทำ เป็นต้น </w:t>
            </w:r>
          </w:p>
        </w:tc>
        <w:tc>
          <w:tcPr>
            <w:tcW w:w="1276" w:type="dxa"/>
            <w:vAlign w:val="center"/>
          </w:tcPr>
          <w:p w:rsidR="008C64F1" w:rsidRPr="00A31FB0" w:rsidRDefault="000659FE" w:rsidP="00BF274F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คณะ</w:t>
            </w: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8C64F1" w:rsidRPr="00A31FB0" w:rsidTr="00BF274F">
        <w:tc>
          <w:tcPr>
            <w:tcW w:w="2547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  <w:t>กิจกรรมอื่น</w:t>
            </w:r>
          </w:p>
        </w:tc>
        <w:tc>
          <w:tcPr>
            <w:tcW w:w="5103" w:type="dxa"/>
            <w:gridSpan w:val="2"/>
            <w:vAlign w:val="center"/>
          </w:tcPr>
          <w:p w:rsidR="008C64F1" w:rsidRPr="00800B10" w:rsidRDefault="008C64F1" w:rsidP="00BF274F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C64F1" w:rsidRPr="00A31FB0" w:rsidRDefault="008C64F1" w:rsidP="00BF274F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8C64F1" w:rsidRPr="00A31FB0" w:rsidRDefault="008C64F1" w:rsidP="00BF274F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</w:tbl>
    <w:p w:rsidR="008C64F1" w:rsidRPr="00A31FB0" w:rsidRDefault="008C64F1">
      <w:pPr>
        <w:rPr>
          <w:w w:val="95"/>
        </w:rPr>
      </w:pPr>
    </w:p>
    <w:sectPr w:rsidR="008C64F1" w:rsidRPr="00A31FB0" w:rsidSect="00670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4CDE"/>
    <w:multiLevelType w:val="hybridMultilevel"/>
    <w:tmpl w:val="A530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C6589"/>
    <w:multiLevelType w:val="hybridMultilevel"/>
    <w:tmpl w:val="8BA6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7512"/>
    <w:multiLevelType w:val="hybridMultilevel"/>
    <w:tmpl w:val="385A3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E33C1"/>
    <w:multiLevelType w:val="hybridMultilevel"/>
    <w:tmpl w:val="A530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558B1"/>
    <w:multiLevelType w:val="hybridMultilevel"/>
    <w:tmpl w:val="598C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D3761"/>
    <w:multiLevelType w:val="hybridMultilevel"/>
    <w:tmpl w:val="FE7A1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A2"/>
    <w:rsid w:val="000659FE"/>
    <w:rsid w:val="000E20D1"/>
    <w:rsid w:val="0015582A"/>
    <w:rsid w:val="00180254"/>
    <w:rsid w:val="00186B72"/>
    <w:rsid w:val="00196445"/>
    <w:rsid w:val="001A2321"/>
    <w:rsid w:val="001A57D1"/>
    <w:rsid w:val="001B50E5"/>
    <w:rsid w:val="001C064E"/>
    <w:rsid w:val="001C7CA2"/>
    <w:rsid w:val="00221F71"/>
    <w:rsid w:val="0022551E"/>
    <w:rsid w:val="002F08CC"/>
    <w:rsid w:val="00373F9C"/>
    <w:rsid w:val="0037409A"/>
    <w:rsid w:val="004113EE"/>
    <w:rsid w:val="00481614"/>
    <w:rsid w:val="004D040C"/>
    <w:rsid w:val="00527601"/>
    <w:rsid w:val="00541FF9"/>
    <w:rsid w:val="00555FEF"/>
    <w:rsid w:val="005B0190"/>
    <w:rsid w:val="00625226"/>
    <w:rsid w:val="00670FCC"/>
    <w:rsid w:val="006B24AD"/>
    <w:rsid w:val="006C31FF"/>
    <w:rsid w:val="00702760"/>
    <w:rsid w:val="00707B10"/>
    <w:rsid w:val="00800B10"/>
    <w:rsid w:val="00821634"/>
    <w:rsid w:val="008436D3"/>
    <w:rsid w:val="00845460"/>
    <w:rsid w:val="008B2E20"/>
    <w:rsid w:val="008C64F1"/>
    <w:rsid w:val="008D361D"/>
    <w:rsid w:val="00901C85"/>
    <w:rsid w:val="00911D73"/>
    <w:rsid w:val="00923625"/>
    <w:rsid w:val="00950289"/>
    <w:rsid w:val="0095665E"/>
    <w:rsid w:val="00A31FB0"/>
    <w:rsid w:val="00A63B7D"/>
    <w:rsid w:val="00A70DA0"/>
    <w:rsid w:val="00AA4C87"/>
    <w:rsid w:val="00AA7AE2"/>
    <w:rsid w:val="00AE54B6"/>
    <w:rsid w:val="00B34B1E"/>
    <w:rsid w:val="00B37A90"/>
    <w:rsid w:val="00B5503B"/>
    <w:rsid w:val="00B76BD6"/>
    <w:rsid w:val="00BA7BAD"/>
    <w:rsid w:val="00C15017"/>
    <w:rsid w:val="00C323B4"/>
    <w:rsid w:val="00C41DBE"/>
    <w:rsid w:val="00C67B93"/>
    <w:rsid w:val="00D16B94"/>
    <w:rsid w:val="00D7747C"/>
    <w:rsid w:val="00DE2D99"/>
    <w:rsid w:val="00E13973"/>
    <w:rsid w:val="00E45DCD"/>
    <w:rsid w:val="00E46FBA"/>
    <w:rsid w:val="00E912C0"/>
    <w:rsid w:val="00EC3ED4"/>
    <w:rsid w:val="00ED46C2"/>
    <w:rsid w:val="00F05353"/>
    <w:rsid w:val="00F33E9A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BCAD"/>
  <w15:chartTrackingRefBased/>
  <w15:docId w15:val="{1DAADDA2-7F2A-4CDA-857E-D8FFA572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a5">
    <w:name w:val="List Paragraph"/>
    <w:basedOn w:val="a"/>
    <w:uiPriority w:val="34"/>
    <w:qFormat/>
    <w:rsid w:val="0041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chiraporn sumetheeprasit</cp:lastModifiedBy>
  <cp:revision>2</cp:revision>
  <dcterms:created xsi:type="dcterms:W3CDTF">2018-04-09T09:04:00Z</dcterms:created>
  <dcterms:modified xsi:type="dcterms:W3CDTF">2018-04-09T09:04:00Z</dcterms:modified>
</cp:coreProperties>
</file>