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0A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แบบประเมิน  แบบรายงานติดตาม ผลดำเนินงานตามแผนบริหารความเสี่ยง</w:t>
      </w:r>
    </w:p>
    <w:p w:rsidR="00663E0A" w:rsidRPr="00437817" w:rsidRDefault="00AD4EB5" w:rsidP="00663E0A">
      <w:pPr>
        <w:rPr>
          <w:rFonts w:ascii="DilleniaUPC" w:hAnsi="DilleniaUPC" w:cs="DilleniaUPC"/>
          <w:b/>
          <w:bCs/>
          <w:sz w:val="32"/>
          <w:szCs w:val="32"/>
          <w:cs/>
          <w:lang w:val="en-US"/>
        </w:rPr>
      </w:pPr>
      <w: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ผู้ประเมิน 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Style w:val="a3"/>
        <w:tblW w:w="10795" w:type="dxa"/>
        <w:tblInd w:w="-5" w:type="dxa"/>
        <w:tblLook w:val="04A0" w:firstRow="1" w:lastRow="0" w:firstColumn="1" w:lastColumn="0" w:noHBand="0" w:noVBand="1"/>
      </w:tblPr>
      <w:tblGrid>
        <w:gridCol w:w="8280"/>
        <w:gridCol w:w="810"/>
        <w:gridCol w:w="990"/>
        <w:gridCol w:w="715"/>
      </w:tblGrid>
      <w:tr w:rsidR="00663E0A" w:rsidRPr="00437817" w:rsidTr="00AD4EB5">
        <w:tc>
          <w:tcPr>
            <w:tcW w:w="828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1.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มีการทำกิจกรรมจริงตามที่ระบุไว้ในแผน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มีการทำกิจกรรมครบถ้วนตามแผนและเป็นไปตามกรอบเวลาที่กำหนด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มีการทำกิจกรรมส่วนใหญ่ได้ตามแผนที่กำหนดและภายในกรอบเวลา และยังทำกิจกรรมที่เหลือต่อเนื่อง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มีการทำกิจกรรมเพียงบางส่วน และไม่ครบถ้วน หรือไม่ได้ทำกิจกรรมที่สำคัญ จนทำให้เชื่อว่าระดับความเสี่ยงยังไม่ลดลง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2.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มีการเปลี่ยนแปลงกิจกรรมจากที่กำหนดไว้ ตามสถานการณ์และความจำเป็น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มีการวิเคราะห์ความเสี่ยงแล้ว ได้เพิ่มเติมหรือเปลี่ยนแปลงกิจกรรมที่จำเป็น และน่าเชื่อได้ว่าจะทำให้ระดับความเสี่ยงลดลง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มีกิจกรรมอื่นทดแทนกิจกรรมเดิม เพื่อให้เหมาะสมกับสถานการณ์ และน่าเชื่อได้ว่าจะทำให้ระดับความเสี่ยงลดลง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มีกิจกรรมอื่นทดแทนกิจกรรมเดิม แต่ยังไม่สามารถทำให้ระดับความเสี่ยงลดลงได้เท่ากับกิจกรรมเดิม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ไม่มีกิจกรรมอื่นทดแทนกิจกรรมเดิม โดยไม่มีเหตุผล และยังมีระดับความเสี่ยงสูงเท่ากับไตรมาสก่อนหน้า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3.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มีผลให้โอกาสเกิดความเสี่ยงลดลง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มีการทำกิจกรรมที่ลดโอกาสเกิดลงอย่างชัดเจน และทำให้เหตุการณ์ความเสี่ยงเกิดน้อยลง ห่างมากขึ้น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โอกาสเกิดลดลงตามจำนวนเวลาหรือวันที่จะเกิดความเสี่ยงลดลง เนื่องจากเวลาผ่านไปโดยไม่เกิดเหตุการณ์เสี่ยง แม้ว่าจะไม่ได้มีการทำกิจกรรมลดความเสี่ยง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โอกาสเกิดไม่ได้ลดลง ตามจำนวนวันหรือเวลาที่จะเกิดความเสี่ยงลดลง ยังมีโอกาสเกิดความเสี่ยงเท่าเดิม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4.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มีผลให้ระดับความรุนแรงลดลง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มีกิจกรรมที่มุ่งลดระดับของความรุนแรงที่จะเกิดโดยตรง และทำให้ผลกระทบที่เกิดจากความเสี่ยงลดลง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มีกิจกรรมที่สามารถลดระดับความรุนแรงทางอ้อมได้บ้าง ทำให้ผลกระทบความเสี่ยงเท่าเดิมหรือลดลง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มีกิจกรรมที่ไม่สามารถเชื่อได้ว่าลดระดับของความรุนแรงของความเสี่ยง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5.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ทะเบียนความเสี่ยงที่ยังหลงเหลือ ณ สิ้นไตรมาสที่รายงาน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ค่าเป้าหมายของความเสี่ยงในไตรมาสนั้นสามารถลดลงได้ทั้งหมด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 xml:space="preserve">ค่าเป้าหมายของความเสี่ยงในไตรมาสนั้นสามารถลดลงส่วนใหญ่ 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ค่าเป้าหมายของความเสี่ยงในไตรมาสนั้นยังคงอยู่เป็นส่วนใหญ่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t>6.</w:t>
            </w: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ผลการประเมินสถานะความเสี่ยงที่หลงเหลือ ในไตรมาสต่อไป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เขียว</w:t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น่าจะสามารถจัดการให้ลดลงได้ตามแผน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น่าจะเกินกว่าระดับที่คาดหวังหรือควรจะเป็น ที่ต้องเพิ่มประสิทธิภาพของกิจกรรมการจัดการความเสี่ยง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ความเสี่ยงที่หลงเหลือ ยังคงเดิม หรือมีแนวโน้มเพิ่มขึ้น รุนแรงขึ้น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828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sz w:val="32"/>
                <w:szCs w:val="32"/>
                <w:cs/>
              </w:rPr>
              <w:t>มีความเสี่ยงเกิดใหม่เพิ่มเติม ที่อาจจะมีผลในอนาคต</w:t>
            </w:r>
          </w:p>
        </w:tc>
        <w:tc>
          <w:tcPr>
            <w:tcW w:w="81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71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:rsidR="00663E0A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</w:p>
    <w:p w:rsidR="00AD4EB5" w:rsidRPr="00437817" w:rsidRDefault="00AD4EB5" w:rsidP="00663E0A">
      <w:pPr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</w:pPr>
    </w:p>
    <w:p w:rsidR="00663E0A" w:rsidRPr="00437817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 w:rsidRPr="00437817">
        <w:rPr>
          <w:rFonts w:ascii="DilleniaUPC" w:hAnsi="DilleniaUPC" w:cs="DilleniaUPC"/>
          <w:b/>
          <w:bCs/>
          <w:sz w:val="32"/>
          <w:szCs w:val="32"/>
          <w:lang w:val="en-US"/>
        </w:rPr>
        <w:lastRenderedPageBreak/>
        <w:t>2.</w:t>
      </w:r>
      <w:r w:rsidRPr="00437817"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เงื่อนไขหลังจากการประเมินสถานะความเสี่ยงรายไตรมาส</w:t>
      </w:r>
    </w:p>
    <w:p w:rsidR="00663E0A" w:rsidRPr="00437817" w:rsidRDefault="00663E0A" w:rsidP="00663E0A">
      <w:pPr>
        <w:rPr>
          <w:rFonts w:ascii="DilleniaUPC" w:hAnsi="DilleniaUPC" w:cs="DilleniaUPC"/>
          <w:b/>
          <w:bCs/>
          <w:sz w:val="32"/>
          <w:szCs w:val="32"/>
          <w:lang w:val="en-US"/>
        </w:rPr>
      </w:pPr>
      <w:r w:rsidRPr="00437817">
        <w:rPr>
          <w:rFonts w:ascii="DilleniaUPC" w:hAnsi="DilleniaUPC" w:cs="DilleniaUPC" w:hint="cs"/>
          <w:b/>
          <w:bCs/>
          <w:sz w:val="32"/>
          <w:szCs w:val="32"/>
          <w:cs/>
          <w:lang w:val="en-US"/>
        </w:rPr>
        <w:t>กำหนดกิจกรรมที่จะปรับเพิ่ม เปลี่ยนแปลง แก้ไขเพื่อลดระดับความเสี่ยงในไตรมาส</w:t>
      </w:r>
    </w:p>
    <w:tbl>
      <w:tblPr>
        <w:tblStyle w:val="a3"/>
        <w:tblW w:w="10263" w:type="dxa"/>
        <w:tblInd w:w="360" w:type="dxa"/>
        <w:tblLook w:val="04A0" w:firstRow="1" w:lastRow="0" w:firstColumn="1" w:lastColumn="0" w:noHBand="0" w:noVBand="1"/>
      </w:tblPr>
      <w:tblGrid>
        <w:gridCol w:w="6835"/>
        <w:gridCol w:w="1440"/>
        <w:gridCol w:w="1988"/>
      </w:tblGrid>
      <w:tr w:rsidR="00663E0A" w:rsidRPr="00437817" w:rsidTr="00AD4EB5">
        <w:tc>
          <w:tcPr>
            <w:tcW w:w="6835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เงื่อนไขการดำเนินการในไตรมาสต่อไป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ดำเนินการตามแผนงานเดิม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เพิ่มเติม แก้ไข เปลี่ยนแปลงกิจกรรมจากแผนงานเดิม</w:t>
            </w: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สถานะความเสี่ยงส่วนที่เป็น เขียว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ลดลงต่ำกว่าเกณฑ์ยอมรับได้</w:t>
            </w:r>
          </w:p>
        </w:tc>
        <w:tc>
          <w:tcPr>
            <w:tcW w:w="1440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988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สถานะความเสี่ยงส่วนที่เป็นเหลือง 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ลดลงบางส่วน ลดลงบางช่วง</w:t>
            </w:r>
          </w:p>
        </w:tc>
        <w:tc>
          <w:tcPr>
            <w:tcW w:w="144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3E0A" w:rsidRPr="00437817" w:rsidTr="00AD4EB5">
        <w:tc>
          <w:tcPr>
            <w:tcW w:w="6835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สถานะความเสี่ยงส่วนที่เป็นแดง</w:t>
            </w:r>
            <w:r w:rsidR="00AD4EB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 xml:space="preserve"> ยังไม่ลดลง สูงกว่าเกณฑ์ยอมรับได้</w:t>
            </w:r>
          </w:p>
        </w:tc>
        <w:tc>
          <w:tcPr>
            <w:tcW w:w="1440" w:type="dxa"/>
          </w:tcPr>
          <w:p w:rsidR="00663E0A" w:rsidRPr="00437817" w:rsidRDefault="00663E0A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  <w:tc>
          <w:tcPr>
            <w:tcW w:w="1988" w:type="dxa"/>
          </w:tcPr>
          <w:p w:rsidR="00663E0A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  <w:cs/>
              </w:rPr>
            </w:pPr>
            <w:r w:rsidRPr="00437817">
              <w:rPr>
                <w:rFonts w:ascii="DilleniaUPC" w:hAnsi="DilleniaUPC" w:cs="DilleniaUP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D4EB5" w:rsidRPr="00437817" w:rsidTr="00BF4D13">
        <w:tc>
          <w:tcPr>
            <w:tcW w:w="10263" w:type="dxa"/>
            <w:gridSpan w:val="3"/>
          </w:tcPr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 w:rsidRPr="00437817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ระบุกิจกรรมในกรณีที่เป็นสีแดง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1.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 w:hint="cs"/>
                <w:b/>
                <w:bCs/>
                <w:sz w:val="32"/>
                <w:szCs w:val="32"/>
              </w:rPr>
            </w:pP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2.</w:t>
            </w:r>
          </w:p>
          <w:p w:rsidR="00AD4EB5" w:rsidRDefault="00AD4EB5" w:rsidP="00DC3744">
            <w:pPr>
              <w:jc w:val="left"/>
              <w:rPr>
                <w:rFonts w:ascii="DilleniaUPC" w:hAnsi="DilleniaUPC" w:cs="DilleniaUPC" w:hint="cs"/>
                <w:b/>
                <w:bCs/>
                <w:sz w:val="32"/>
                <w:szCs w:val="32"/>
              </w:rPr>
            </w:pPr>
          </w:p>
          <w:p w:rsidR="00AD4EB5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  <w:r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</w:rPr>
              <w:t>3.</w:t>
            </w:r>
          </w:p>
          <w:p w:rsidR="00AD4EB5" w:rsidRPr="00437817" w:rsidRDefault="00AD4EB5" w:rsidP="00DC3744">
            <w:pPr>
              <w:jc w:val="left"/>
              <w:rPr>
                <w:rFonts w:ascii="DilleniaUPC" w:hAnsi="DilleniaUPC" w:cs="DilleniaUPC"/>
                <w:b/>
                <w:bCs/>
                <w:sz w:val="32"/>
                <w:szCs w:val="32"/>
              </w:rPr>
            </w:pPr>
          </w:p>
        </w:tc>
      </w:tr>
    </w:tbl>
    <w:p w:rsidR="00663E0A" w:rsidRPr="00437817" w:rsidRDefault="00663E0A" w:rsidP="00663E0A">
      <w:pPr>
        <w:rPr>
          <w:rFonts w:ascii="DilleniaUPC" w:hAnsi="DilleniaUPC" w:cs="DilleniaUPC"/>
          <w:sz w:val="32"/>
          <w:szCs w:val="32"/>
          <w:lang w:val="en-US"/>
        </w:rPr>
      </w:pPr>
    </w:p>
    <w:p w:rsidR="00D146D1" w:rsidRDefault="00D146D1"/>
    <w:sectPr w:rsidR="00D146D1" w:rsidSect="00663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0A"/>
    <w:rsid w:val="00027E42"/>
    <w:rsid w:val="0024518E"/>
    <w:rsid w:val="00362900"/>
    <w:rsid w:val="00580F79"/>
    <w:rsid w:val="006071C2"/>
    <w:rsid w:val="00663E0A"/>
    <w:rsid w:val="00786942"/>
    <w:rsid w:val="009F39C3"/>
    <w:rsid w:val="00A420F1"/>
    <w:rsid w:val="00AD4EB5"/>
    <w:rsid w:val="00C14CA1"/>
    <w:rsid w:val="00D146D1"/>
    <w:rsid w:val="00D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4BC2"/>
  <w15:chartTrackingRefBased/>
  <w15:docId w15:val="{60385154-5FFF-42BF-8D56-F74B537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0A"/>
    <w:pPr>
      <w:jc w:val="thaiDistribute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2018-03-08T10:32:00Z</dcterms:created>
  <dcterms:modified xsi:type="dcterms:W3CDTF">2018-03-08T10:32:00Z</dcterms:modified>
</cp:coreProperties>
</file>